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Публичная оферта Целостный аудит</w:t>
      </w:r>
    </w:p>
    <w:p>
      <w:pPr>
        <w:widowControl/>
      </w:pPr>
      <w:r>
        <w:t>Предложение заключить договор оказания информационно-консультационных услуг. Редакция от 04.11.2026.</w:t>
      </w:r>
    </w:p>
    <w:p>
      <w:pPr>
        <w:pStyle w:val="Heading1"/>
      </w:pPr>
      <w:r>
        <w:t>1 Участники и заключение договора</w:t>
      </w:r>
    </w:p>
    <w:p>
      <w:pPr>
        <w:widowControl/>
      </w:pPr>
      <w:r>
        <w:t>Исполнитель и продавец — ИП Адов Дмитрий Евгеньевич, ИНН 262510787689, ОГРНИП 326265100103770. Привлечённый ведущий эксперт — Михаил Кузминский. ООО «Ресурс Развития» используется как платёжный сервис; условия его платёжной страницы применяются к проведению платежа. Содержательный аудит оказывает Исполнитель с участием эксперта.</w:t>
      </w:r>
    </w:p>
    <w:p>
      <w:pPr>
        <w:widowControl/>
      </w:pPr>
      <w:r>
        <w:t>Заказчик — совершеннолетнее дееспособное лицо либо организация, оформляющая заказ для указанного участника. До оплаты доступны состав, цена и условия аудита. Акцепт этой оферты — полная оплата конкретного аудита. Нажатие кнопки «Оплатить» и открытие страницы не подтверждают оплату. В первом запуске эксперт вручную сверяет фактический платёж, сумму и номер заказа с профилем покупателя, после чего открывает доступ. При несовпадении данных свяжитесь с поддержкой.</w:t>
      </w:r>
    </w:p>
    <w:p>
      <w:pPr>
        <w:pStyle w:val="Heading1"/>
      </w:pPr>
      <w:r>
        <w:t>2 Что входит в аудит</w:t>
      </w:r>
    </w:p>
    <w:p>
      <w:pPr>
        <w:pStyle w:val="ListBullet"/>
        <w:widowControl/>
        <w:spacing w:after="100"/>
      </w:pPr>
      <w:r>
        <w:t>Единая первая анкета о человеке, его деле, цели и имеющихся материалах.</w:t>
      </w:r>
    </w:p>
    <w:p>
      <w:pPr>
        <w:pStyle w:val="ListBullet"/>
        <w:widowControl/>
        <w:spacing w:after="100"/>
      </w:pPr>
      <w:r>
        <w:t>Вторая, углублённая анкета по шести областям: тело, личность, стратегия; продукт и бизнес-модель, маркетинг и продажи, система и автоматизация. Объём уточнений зависит от ответов; дальнейшую работу в Академии, Студии или их сочетание не назначают автоматически.</w:t>
      </w:r>
    </w:p>
    <w:p>
      <w:pPr>
        <w:pStyle w:val="ListBullet"/>
        <w:widowControl/>
        <w:spacing w:after="100"/>
      </w:pPr>
      <w:r>
        <w:t>Изучение ситуации и подготовка; один индивидуальный онлайн-разбор продолжительностью 90 минут.</w:t>
      </w:r>
    </w:p>
    <w:p>
      <w:pPr>
        <w:pStyle w:val="ListBullet"/>
        <w:widowControl/>
        <w:spacing w:after="100"/>
      </w:pPr>
      <w:r>
        <w:t>Карта, расшифровка и план действий на 12 недель — в течение 24 часов после состоявшегося разбора. Первые две недели плана конкретизируются подробнее; дальнейшие шаги уточняются с учётом фактических результатов.</w:t>
      </w:r>
    </w:p>
    <w:p>
      <w:pPr>
        <w:pStyle w:val="ListBullet"/>
        <w:widowControl/>
        <w:spacing w:after="100"/>
      </w:pPr>
      <w:r>
        <w:t>«Неделя ясности» — ответы на вопросы по выданным выводам и плану в течение семи календарных дней после состоявшегося разбора.</w:t>
      </w:r>
    </w:p>
    <w:p>
      <w:pPr>
        <w:widowControl/>
      </w:pPr>
      <w:r>
        <w:t>Формат «две недели» означает неделю подготовки и неделю ясности после встречи. Время до отправки первой анкеты, выбранная поздняя дата встречи и согласованные переносы могут увеличить общий календарный срок. Техническое внедрение, постоянное сопровождение и отдельные программы Академии или Студии в стоимость аудита не входят; их можно обсудить отдельно.</w:t>
      </w:r>
    </w:p>
    <w:p>
      <w:pPr>
        <w:pStyle w:val="Heading1"/>
      </w:pPr>
      <w:r>
        <w:t>3 Анкеты материалы и встреча</w:t>
      </w:r>
    </w:p>
    <w:p>
      <w:pPr>
        <w:widowControl/>
      </w:pPr>
      <w:r>
        <w:t>Перед бесплатным 20-минутным разбором участник выбирает время, затем указывает имя, телефон и email и подтверждает запись. Контакты проверяются по формату без кодов подтверждения; они нужны для связи по встрече и не означают согласия на рекламу.</w:t>
      </w:r>
    </w:p>
    <w:p>
      <w:pPr>
        <w:widowControl/>
      </w:pPr>
      <w:r>
        <w:t>На первую анкету даётся 72 часа с подтверждения оплаты. С её первой отправки начинается подготовка продолжительностью 168 часов и сразу открывается вторая анкета; на вторую даётся 72 часа с отправки первой. Черновики сохраняются. Отправленные ответы не перезаписываются: уточнения добавляются отдельно и не сдвигают сроки. Предоставляются только ссылки на уже имеющиеся материалы; допустимо отсутствие материалов или неизвестных показателей.</w:t>
      </w:r>
    </w:p>
    <w:p>
      <w:pPr>
        <w:widowControl/>
      </w:pPr>
      <w:r>
        <w:t>При просрочке анкета остаётся открытой, ответы и оплата сохраняются. Сервис напоминает о заполнении раз в сутки с 09:00 до 21:00 по выбранному часовому поясу. Запись на 90-минутный разбор открывается после первой анкеты, встреча возможна не ранее чем через 168 часов после её отправки. Вторую анкету нужно отправить до встречи. Если её нет, уведомляются участник и эксперт; эксперт уточняет возможность проведения встречи или согласовывает перенос. Автоматического аннулирования оплаты нет.</w:t>
      </w:r>
    </w:p>
    <w:p>
      <w:pPr>
        <w:widowControl/>
      </w:pPr>
      <w:r>
        <w:t>Запись доступна с завтрашней даты по Москве, понедельник–суббота, в окнах 10:00–13:00, 14:00–17:00, 18:00–21:00 МСК с учётом занятости. В интерфейсе время переводится в выбранный пояс участника. Один самостоятельный перенос можно запросить не позднее чем за восемь часов до встречи; перенос действует после подтверждения экспертом, до него сохраняется прежняя запись. Другие изменения согласуются с экспертом. Напоминания о встрече: за 24 часа, два часа и 15 минут. Ссылка на встречу передаётся в боте и записи после её подготовки.</w:t>
      </w:r>
    </w:p>
    <w:p>
      <w:pPr>
        <w:widowControl/>
      </w:pPr>
      <w:r>
        <w:t>Бесплатную запись можно самостоятельно отменить до начала встречи и снова выбрать время. Отмена и новая запись не продлевают персональный срок специальной цены.</w:t>
      </w:r>
    </w:p>
    <w:p>
      <w:pPr>
        <w:widowControl/>
      </w:pPr>
      <w:r>
        <w:t>После отмеченной экспертом неявки на платный разбор участник может один раз самостоятельно выбрать новую дату без повторной оплаты. Анкеты и ранее установленные сроки сохраняются; дальнейшие изменения согласуются с экспертом.</w:t>
      </w:r>
    </w:p>
    <w:p>
      <w:pPr>
        <w:pStyle w:val="Heading1"/>
      </w:pPr>
      <w:r>
        <w:t>4 Цена и специальные условия</w:t>
      </w:r>
    </w:p>
    <w:p>
      <w:pPr>
        <w:widowControl/>
      </w:pPr>
      <w:r>
        <w:t>Обычная стоимость — 25 000 ₽. Специальная стоимость — 15 000 ₽ в течение ровно 72 часов после первого получения результата самодиагностики. Персональная дата окончания отображается в Mini App. Три разных новых участника, завершивших самодиагностику по личной ссылке, дают один бонус: ещё 72 часа к действующему сроку либо новые 72 часа с третьего завершения, если срок закончился. Повторные прохождения, собственный аккаунт и известные связанные дубликаты не учитываются. Для зачёта в подписанном профиле должны быть имя и фамилия; аватар необязателен. Эти признаки не являются удостоверением личности.</w:t>
      </w:r>
    </w:p>
    <w:p>
      <w:pPr>
        <w:widowControl/>
      </w:pPr>
      <w:r>
        <w:t>Повторный вход, прохождение и удаление профиля не возобновляют специальную цену или бонус. Для этого сохраняется минимальная техническая метка по политике данных. На локальном этапе срок регулирует бот; публичная страница платёжного сервиса сама по себе не закрывается после него. При необходимости сверки заказа используется фактически оплаченная сумма и подтверждение Исполнителя.</w:t>
      </w:r>
    </w:p>
    <w:p>
      <w:pPr>
        <w:pStyle w:val="Heading1"/>
      </w:pPr>
      <w:r>
        <w:t>5 Результат и взаимодействие</w:t>
      </w:r>
    </w:p>
    <w:p>
      <w:pPr>
        <w:widowControl/>
      </w:pPr>
      <w:r>
        <w:t>Самодиагностика предварительна и основана на ответах участника. Аудит — консультационная услуга; конкретный доход, прибыль, срок окупаемости и одинаковый результат не гарантируются. Он не является медицинской помощью или психотерапией. Участник предоставляет относящиеся к задаче сведения, выбирает выполнимые действия и принимает решения самостоятельно. Не передавайте паспортные данные, реквизиты карты, диагнозы или персональные данные клиентов и сотрудников; материалы следует обезличить.</w:t>
      </w:r>
    </w:p>
    <w:p>
      <w:pPr>
        <w:widowControl/>
      </w:pPr>
      <w:r>
        <w:t>При техническом сбое Исполнителя согласуется восстановление доступа, новая дата либо предусмотренное законом урегулирование. Вопросы о встрече и выводах — через «Написать Михаилу» в Mini App; вопросы об оплате, возврате и претензии — support@celostnost.online.</w:t>
      </w:r>
    </w:p>
    <w:p>
      <w:pPr>
        <w:pStyle w:val="Heading1"/>
      </w:pPr>
      <w:r>
        <w:t>6 Отказ и возврат</w:t>
      </w:r>
    </w:p>
    <w:p>
      <w:pPr>
        <w:widowControl/>
      </w:pPr>
      <w:r>
        <w:t>Заказчик вправе заявить об отказе от услуг. Заявление направляется на support@celostnost.online с данными, достаточными для поиска заказа. Расчёт возврата учитывает фактически исполненное и подтверждённые расходы в пределах применимого законодательства, включая статью 782 ГК РФ и, когда применим, Закон РФ «О защите прав потребителей». Автоматических невозвратных процентов и штрафа за просрочку анкет нет. Включение в работу, открытие анкеты или выдача доступа сами по себе не означают полного оказания услуги. Предоставляется обоснованный расчёт; обязательные права Заказчика сохраняются.</w:t>
      </w:r>
    </w:p>
    <w:p>
      <w:pPr>
        <w:widowControl/>
      </w:pPr>
      <w:r>
        <w:t>После проверенного полного возврата доступ к новым ответам, уточнениям и записи на платный аудит закрывается; будущая платная встреча отменяется. Сохранённая история остаётся доступной для просмотра и сверки до отдельного согласованного удаления рабочих данных.</w:t>
      </w:r>
    </w:p>
    <w:p>
      <w:pPr>
        <w:pStyle w:val="Heading1"/>
      </w:pPr>
      <w:r>
        <w:t>7 Данные реквизиты и изменения</w:t>
      </w:r>
    </w:p>
    <w:p>
      <w:pPr>
        <w:widowControl/>
      </w:pPr>
      <w:r>
        <w:t>Михаил Кузминский — оператор сервиса и содержательных данных. ИП Адов — самостоятельный оператор данных своего договора, продажи, оплаты, чеков, возвратов и обязательного учёта. Для платежа ему и платёжному сервису не передаются полные ответы самодиагностики и анкет. Подробности — в политике обработки данных (https://snitch-comment-marbling.ngrok-free.dev/legal/personal-data-policy.html). Рекламное согласие добровольно и отдельно от согласия на данные.</w:t>
      </w:r>
    </w:p>
    <w:p>
      <w:pPr>
        <w:widowControl/>
      </w:pPr>
      <w:r>
        <w:t>Продавец: ИП Адов Дмитрий Евгеньевич, ИНН 262510787689, ОГРНИП 326265100103770. Адрес для корреспонденции: 357819, Россия, Ставропольский край, Георгиевский район, п. Новый, ул. Южная, д. 9. Email: support@celostnost.online. Применяется законодательство Российской Федерации. Новая редакция условий действует для новых заказов и не сокращает уже оплаченный объём.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Целостный аудит</dc:title>
  <dc:subject>Условия единого целостного аудита</dc:subject>
  <dc:creator>Целостность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